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73E5" w:rsidRDefault="001F73E5" w:rsidP="001F73E5">
      <w:pPr>
        <w:jc w:val="center"/>
        <w:rPr>
          <w:rFonts w:eastAsia="Times New Roman"/>
        </w:rPr>
      </w:pPr>
      <w:r>
        <w:rPr>
          <w:rFonts w:eastAsia="Times New Roman"/>
        </w:rPr>
        <w:t>Лекция 18. Помехоустойчивость оптимального когерентного приема. Теоремы Шеннона</w:t>
      </w:r>
    </w:p>
    <w:p w:rsidR="001F73E5" w:rsidRDefault="001F73E5" w:rsidP="001F73E5">
      <w:pPr>
        <w:jc w:val="center"/>
      </w:pPr>
    </w:p>
    <w:p w:rsidR="001F73E5" w:rsidRDefault="001F73E5" w:rsidP="001F73E5">
      <w:pPr>
        <w:jc w:val="center"/>
      </w:pPr>
      <w:r>
        <w:t>Содержание лекции:</w:t>
      </w:r>
    </w:p>
    <w:p w:rsidR="001F73E5" w:rsidRDefault="001F73E5" w:rsidP="001F73E5">
      <w:pPr>
        <w:jc w:val="center"/>
        <w:rPr>
          <w:rFonts w:eastAsia="Times New Roman"/>
        </w:rPr>
      </w:pPr>
      <w:r>
        <w:rPr>
          <w:rFonts w:eastAsia="Times New Roman"/>
        </w:rPr>
        <w:t>- помехоустойчивость оптимального когерентного приема. Теоремы Шеннона.</w:t>
      </w:r>
    </w:p>
    <w:p w:rsidR="001F73E5" w:rsidRDefault="001F73E5" w:rsidP="001F73E5">
      <w:pPr>
        <w:jc w:val="center"/>
        <w:rPr>
          <w:rFonts w:eastAsia="Times New Roman"/>
        </w:rPr>
      </w:pPr>
    </w:p>
    <w:p w:rsidR="001F73E5" w:rsidRDefault="001F73E5" w:rsidP="001F73E5">
      <w:pPr>
        <w:jc w:val="center"/>
      </w:pPr>
      <w:r>
        <w:t>Цель лекции:</w:t>
      </w:r>
    </w:p>
    <w:p w:rsidR="001F73E5" w:rsidRDefault="001F73E5" w:rsidP="001F73E5">
      <w:pPr>
        <w:jc w:val="center"/>
      </w:pPr>
      <w:r>
        <w:t xml:space="preserve">- определить потенциальную помехоустойчивость для двоичной системы с аддитивным БГШ в канале, когда при приёме точно известны оба ожидаемых сигнала: </w:t>
      </w:r>
      <w:r>
        <w:rPr>
          <w:i/>
          <w:iCs/>
          <w:lang w:val="en-US"/>
        </w:rPr>
        <w:t>s</w:t>
      </w:r>
      <w:r>
        <w:rPr>
          <w:i/>
          <w:iCs/>
          <w:vertAlign w:val="subscript"/>
        </w:rPr>
        <w:t>1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t xml:space="preserve"> и </w:t>
      </w:r>
      <w:r>
        <w:rPr>
          <w:i/>
          <w:iCs/>
          <w:lang w:val="en-US"/>
        </w:rPr>
        <w:t>s</w:t>
      </w:r>
      <w:r>
        <w:rPr>
          <w:i/>
          <w:iCs/>
          <w:vertAlign w:val="subscript"/>
        </w:rPr>
        <w:t>0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rPr>
          <w:i/>
          <w:iCs/>
          <w:caps/>
        </w:rPr>
        <w:t>,</w:t>
      </w:r>
      <w:r>
        <w:rPr>
          <w:caps/>
        </w:rPr>
        <w:t xml:space="preserve"> </w:t>
      </w:r>
      <w:r>
        <w:t>полагая, что априорные вероятности этих сигналов одинаковы.</w:t>
      </w:r>
    </w:p>
    <w:p w:rsidR="001F73E5" w:rsidRDefault="001F73E5" w:rsidP="001F73E5">
      <w:pPr>
        <w:jc w:val="center"/>
      </w:pPr>
    </w:p>
    <w:p w:rsidR="001F73E5" w:rsidRDefault="001F73E5" w:rsidP="001F73E5">
      <w:pPr>
        <w:jc w:val="center"/>
      </w:pPr>
      <w:r>
        <w:t xml:space="preserve">Приходящий сигнал </w:t>
      </w:r>
      <w:r>
        <w:rPr>
          <w:i/>
          <w:iCs/>
          <w:lang w:val="en-US"/>
        </w:rPr>
        <w:t>z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t xml:space="preserve"> является случайным, так как, во-первых, заранее не известна реализация передаваемого сигнала, во-вторых, он содержит случайную помеху </w:t>
      </w:r>
      <w:r>
        <w:rPr>
          <w:i/>
          <w:iCs/>
          <w:lang w:val="en-US"/>
        </w:rPr>
        <w:t>N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</w:p>
    <w:p w:rsidR="001F73E5" w:rsidRDefault="001F73E5" w:rsidP="001F73E5">
      <w:pPr>
        <w:jc w:val="center"/>
      </w:pPr>
      <w:r>
        <w:t>В этом случае согласно (5.26) алгоритм оптимального приёма</w:t>
      </w:r>
    </w:p>
    <w:p w:rsidR="001F73E5" w:rsidRDefault="001F73E5" w:rsidP="001F73E5">
      <w:pPr>
        <w:jc w:val="center"/>
      </w:pPr>
      <w:r>
        <w:rPr>
          <w:noProof/>
          <w:vertAlign w:val="subscript"/>
        </w:rPr>
        <w:drawing>
          <wp:inline distT="0" distB="0" distL="0" distR="0" wp14:anchorId="5C1A5768" wp14:editId="79981EB3">
            <wp:extent cx="3524250" cy="485775"/>
            <wp:effectExtent l="0" t="0" r="0" b="9525"/>
            <wp:docPr id="1" name="Picture 1" descr="C:\Users\Василий\Desktop\Нов лек ТЭС\Лекции ТЭС последние\ГЛАВА 2_files\image35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C:\Users\Василий\Desktop\Нов лек ТЭС\Лекции ТЭС последние\ГЛАВА 2_files\image355.gif"/>
                    <pic:cNvPicPr>
                      <a:picLocks noChangeAspect="1" noChangeArrowheads="1"/>
                    </pic:cNvPicPr>
                  </pic:nvPicPr>
                  <pic:blipFill>
                    <a:blip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              (18.1)</w:t>
      </w:r>
    </w:p>
    <w:p w:rsidR="001F73E5" w:rsidRDefault="001F73E5" w:rsidP="001F73E5">
      <w:pPr>
        <w:jc w:val="center"/>
      </w:pPr>
      <w:r>
        <w:t xml:space="preserve">При выполнении неравенства (18.1) оптимальный приёмник регистрирует символ 1, соответствующий сигналу </w:t>
      </w:r>
      <w:r>
        <w:rPr>
          <w:i/>
          <w:iCs/>
          <w:lang w:val="en-US"/>
        </w:rPr>
        <w:t>s</w:t>
      </w:r>
      <w:r>
        <w:rPr>
          <w:i/>
          <w:iCs/>
          <w:vertAlign w:val="subscript"/>
        </w:rPr>
        <w:t>1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),</w:t>
      </w:r>
      <w:r>
        <w:t xml:space="preserve"> в противном случае — символ 0, соответствующий сигналу </w:t>
      </w:r>
      <w:r>
        <w:rPr>
          <w:i/>
          <w:iCs/>
          <w:lang w:val="en-US"/>
        </w:rPr>
        <w:t>S</w:t>
      </w:r>
      <w:r>
        <w:rPr>
          <w:i/>
          <w:iCs/>
          <w:vertAlign w:val="subscript"/>
        </w:rPr>
        <w:t>0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).</w:t>
      </w:r>
      <w:r>
        <w:t xml:space="preserve"> Если действительно передаётся символ 1, то </w:t>
      </w:r>
      <w:r>
        <w:rPr>
          <w:i/>
          <w:iCs/>
          <w:lang w:val="en-US"/>
        </w:rPr>
        <w:t>z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t xml:space="preserve"> = </w:t>
      </w:r>
      <w:r>
        <w:rPr>
          <w:i/>
          <w:iCs/>
          <w:lang w:val="en-US"/>
        </w:rPr>
        <w:t>s</w:t>
      </w:r>
      <w:r>
        <w:rPr>
          <w:i/>
          <w:iCs/>
          <w:vertAlign w:val="subscript"/>
        </w:rPr>
        <w:t>1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 xml:space="preserve">) + </w:t>
      </w:r>
      <w:r>
        <w:rPr>
          <w:i/>
          <w:iCs/>
          <w:lang w:val="en-US"/>
        </w:rPr>
        <w:t>N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).</w:t>
      </w:r>
      <w:r>
        <w:t xml:space="preserve"> При этом вероятность ошибки определяется вероятностью того, что неравенство (18.1) не выполнено, т.е. вероятностью выполнения обратного неравенства.</w:t>
      </w:r>
    </w:p>
    <w:p w:rsidR="001F73E5" w:rsidRDefault="001F73E5" w:rsidP="001F73E5">
      <w:pPr>
        <w:jc w:val="center"/>
      </w:pPr>
      <w:r>
        <w:t xml:space="preserve">Если </w:t>
      </w:r>
      <w:r>
        <w:rPr>
          <w:i/>
          <w:iCs/>
          <w:lang w:val="en-US"/>
        </w:rPr>
        <w:t>N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 -</w:t>
      </w:r>
      <w:r>
        <w:t xml:space="preserve"> нормальный белый стационарный шум с нулевым средним и односторонней спектральной плотностью мощности </w:t>
      </w:r>
      <w:r>
        <w:rPr>
          <w:i/>
          <w:iCs/>
          <w:caps/>
          <w:lang w:val="en-US"/>
        </w:rPr>
        <w:t>n</w:t>
      </w:r>
      <w:r>
        <w:rPr>
          <w:i/>
          <w:iCs/>
          <w:caps/>
          <w:vertAlign w:val="subscript"/>
        </w:rPr>
        <w:t>0</w:t>
      </w:r>
      <w:r>
        <w:rPr>
          <w:i/>
          <w:iCs/>
          <w:caps/>
        </w:rPr>
        <w:t>,</w:t>
      </w:r>
      <w:r>
        <w:rPr>
          <w:caps/>
        </w:rPr>
        <w:t xml:space="preserve"> </w:t>
      </w:r>
      <w:r>
        <w:t xml:space="preserve">то вероятность ошибки через </w:t>
      </w:r>
      <w:r>
        <w:rPr>
          <w:lang w:val="en-US"/>
        </w:rPr>
        <w:t>Q</w:t>
      </w:r>
      <w:r>
        <w:t>-функцию можно записать в виде</w:t>
      </w:r>
    </w:p>
    <w:p w:rsidR="001F73E5" w:rsidRDefault="001F73E5" w:rsidP="001F73E5">
      <w:pPr>
        <w:jc w:val="center"/>
      </w:pPr>
      <w:r>
        <w:rPr>
          <w:noProof/>
          <w:vertAlign w:val="subscript"/>
        </w:rPr>
        <w:drawing>
          <wp:inline distT="0" distB="0" distL="0" distR="0" wp14:anchorId="5BDEA4C6" wp14:editId="07642191">
            <wp:extent cx="981075" cy="504825"/>
            <wp:effectExtent l="0" t="0" r="9525" b="9525"/>
            <wp:docPr id="2" name="Picture 2" descr="C:\Users\Василий\Desktop\Нов лек ТЭС\Лекции ТЭС последние\ГЛАВА 2_files\image35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C:\Users\Василий\Desktop\Нов лек ТЭС\Лекции ТЭС последние\ГЛАВА 2_files\image356.gif"/>
                    <pic:cNvPicPr>
                      <a:picLocks noChangeAspect="1" noChangeArrowheads="1"/>
                    </pic:cNvPicPr>
                  </pic:nvPicPr>
                  <pic:blipFill>
                    <a:blip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                                 (18.2)</w:t>
      </w:r>
    </w:p>
    <w:p w:rsidR="001F73E5" w:rsidRDefault="001F73E5" w:rsidP="001F73E5">
      <w:pPr>
        <w:jc w:val="center"/>
      </w:pPr>
      <w:r>
        <w:t xml:space="preserve">Функция </w:t>
      </w:r>
      <w:r>
        <w:rPr>
          <w:noProof/>
          <w:vertAlign w:val="subscript"/>
        </w:rPr>
        <w:drawing>
          <wp:inline distT="0" distB="0" distL="0" distR="0" wp14:anchorId="27685ECA" wp14:editId="6A093E2D">
            <wp:extent cx="1295400" cy="495300"/>
            <wp:effectExtent l="0" t="0" r="0" b="0"/>
            <wp:docPr id="3" name="Picture 3" descr="C:\Users\Василий\Desktop\Нов лек ТЭС\Лекции ТЭС последние\ГЛАВА 2_files\image35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C:\Users\Василий\Desktop\Нов лек ТЭС\Лекции ТЭС последние\ГЛАВА 2_files\image357.gif"/>
                    <pic:cNvPicPr>
                      <a:picLocks noChangeAspect="1" noChangeArrowheads="1"/>
                    </pic:cNvPicPr>
                  </pic:nvPicPr>
                  <pic:blipFill>
                    <a:blip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 табулирована и называется дополнительной функцией ошибок. При заданной интенсивности помехи </w:t>
      </w:r>
      <w:r>
        <w:rPr>
          <w:i/>
          <w:iCs/>
          <w:caps/>
          <w:lang w:val="en-US"/>
        </w:rPr>
        <w:t>nq</w:t>
      </w:r>
      <w:r w:rsidRPr="00DF3D91">
        <w:rPr>
          <w:caps/>
        </w:rPr>
        <w:t xml:space="preserve"> </w:t>
      </w:r>
      <w:r>
        <w:t xml:space="preserve">потенциальная помехоустойчивость двоичной системы зависит только от так называемой </w:t>
      </w:r>
      <w:r>
        <w:rPr>
          <w:i/>
          <w:iCs/>
        </w:rPr>
        <w:t>эквивалентной энергии сигналов</w:t>
      </w:r>
    </w:p>
    <w:p w:rsidR="001F73E5" w:rsidRDefault="001F73E5" w:rsidP="001F73E5">
      <w:pPr>
        <w:jc w:val="center"/>
      </w:pPr>
      <w:r>
        <w:rPr>
          <w:noProof/>
          <w:vertAlign w:val="subscript"/>
        </w:rPr>
        <w:drawing>
          <wp:inline distT="0" distB="0" distL="0" distR="0" wp14:anchorId="7FA33988" wp14:editId="33E319E8">
            <wp:extent cx="1895475" cy="485775"/>
            <wp:effectExtent l="0" t="0" r="9525" b="9525"/>
            <wp:docPr id="4" name="Picture 4" descr="C:\Users\Василий\Desktop\Нов лек ТЭС\Лекции ТЭС последние\ГЛАВА 2_files\image3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C:\Users\Василий\Desktop\Нов лек ТЭС\Лекции ТЭС последние\ГЛАВА 2_files\image358.gif"/>
                    <pic:cNvPicPr>
                      <a:picLocks noChangeAspect="1" noChangeArrowheads="1"/>
                    </pic:cNvPicPr>
                  </pic:nvPicPr>
                  <pic:blipFill>
                    <a:blip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,             (18.3)</w:t>
      </w:r>
    </w:p>
    <w:p w:rsidR="001F73E5" w:rsidRDefault="001F73E5" w:rsidP="001F73E5">
      <w:pPr>
        <w:jc w:val="center"/>
      </w:pPr>
      <w:r>
        <w:t>которая равна квадрату расстояния между сигнальными точками в пространстве Гильберта. Помехоустойчивость выше (вероятность ошибки меньше) у той системы, у которой больше эквивалентная энергия используемых сигналов независимо от формы используемых сигналов. Последние, в частности, могут быть как простыми (отрезками синусоиды с малой базой), так и сложными (шумоподобными, с большой базой).</w:t>
      </w:r>
    </w:p>
    <w:p w:rsidR="001F73E5" w:rsidRDefault="001F73E5" w:rsidP="001F73E5">
      <w:pPr>
        <w:jc w:val="center"/>
      </w:pPr>
      <w:r>
        <w:t xml:space="preserve">На рисунке 18.1 в двумерном пространстве показаны точки сигналов для двоичной системы: рисунок 18.1 </w:t>
      </w:r>
      <w:r>
        <w:rPr>
          <w:i/>
          <w:iCs/>
        </w:rPr>
        <w:t>а -</w:t>
      </w:r>
      <w:r>
        <w:t xml:space="preserve"> </w:t>
      </w:r>
      <w:r>
        <w:rPr>
          <w:lang w:val="en-US"/>
        </w:rPr>
        <w:t>AM</w:t>
      </w:r>
      <w:r>
        <w:t xml:space="preserve"> при </w:t>
      </w:r>
      <w:r>
        <w:rPr>
          <w:i/>
          <w:iCs/>
          <w:lang w:val="en-US"/>
        </w:rPr>
        <w:t>s</w:t>
      </w:r>
      <w:r>
        <w:rPr>
          <w:i/>
          <w:iCs/>
          <w:vertAlign w:val="subscript"/>
        </w:rPr>
        <w:t>0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)=0</w:t>
      </w:r>
      <w:r>
        <w:t xml:space="preserve">, </w:t>
      </w:r>
      <w:r>
        <w:rPr>
          <w:noProof/>
          <w:vertAlign w:val="subscript"/>
        </w:rPr>
        <w:drawing>
          <wp:inline distT="0" distB="0" distL="0" distR="0" wp14:anchorId="2A65AABB" wp14:editId="19538C6C">
            <wp:extent cx="876300" cy="514350"/>
            <wp:effectExtent l="0" t="0" r="0" b="0"/>
            <wp:docPr id="5" name="Picture 5" descr="C:\Users\Василий\Desktop\Нов лек ТЭС\Лекции ТЭС последние\ГЛАВА 2_files\image35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C:\Users\Василий\Desktop\Нов лек ТЭС\Лекции ТЭС последние\ГЛАВА 2_files\image359.gif"/>
                    <pic:cNvPicPr>
                      <a:picLocks noChangeAspect="1" noChangeArrowheads="1"/>
                    </pic:cNvPicPr>
                  </pic:nvPicPr>
                  <pic:blipFill>
                    <a:blip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>;</w:t>
      </w:r>
      <w:r>
        <w:t xml:space="preserve"> рисунок 18.1 </w:t>
      </w:r>
      <w:r>
        <w:rPr>
          <w:i/>
          <w:iCs/>
        </w:rPr>
        <w:t>б —</w:t>
      </w:r>
      <w:r>
        <w:t xml:space="preserve"> ЧМ с ортогональными сигналами </w:t>
      </w:r>
      <w:r>
        <w:rPr>
          <w:noProof/>
          <w:vertAlign w:val="subscript"/>
        </w:rPr>
        <w:drawing>
          <wp:inline distT="0" distB="0" distL="0" distR="0" wp14:anchorId="353EBF76" wp14:editId="4343DC7F">
            <wp:extent cx="1066800" cy="485775"/>
            <wp:effectExtent l="0" t="0" r="0" b="9525"/>
            <wp:docPr id="6" name="Picture 6" descr="C:\Users\Василий\Desktop\Нов лек ТЭС\Лекции ТЭС последние\ГЛАВА 2_files\image36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C:\Users\Василий\Desktop\Нов лек ТЭС\Лекции ТЭС последние\ГЛАВА 2_files\image360.gif"/>
                    <pic:cNvPicPr>
                      <a:picLocks noChangeAspect="1" noChangeArrowheads="1"/>
                    </pic:cNvPicPr>
                  </pic:nvPicPr>
                  <pic:blipFill>
                    <a:blip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, </w:t>
      </w:r>
      <w:r>
        <w:rPr>
          <w:noProof/>
          <w:vertAlign w:val="subscript"/>
        </w:rPr>
        <w:drawing>
          <wp:inline distT="0" distB="0" distL="0" distR="0" wp14:anchorId="1D6ECAAE" wp14:editId="3E62472F">
            <wp:extent cx="1514475" cy="485775"/>
            <wp:effectExtent l="0" t="0" r="9525" b="9525"/>
            <wp:docPr id="7" name="Picture 7" descr="C:\Users\Василий\Desktop\Нов лек ТЭС\Лекции ТЭС последние\ГЛАВА 2_files\image36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C:\Users\Василий\Desktop\Нов лек ТЭС\Лекции ТЭС последние\ГЛАВА 2_files\image361.gif"/>
                    <pic:cNvPicPr>
                      <a:picLocks noChangeAspect="1" noChangeArrowheads="1"/>
                    </pic:cNvPicPr>
                  </pic:nvPicPr>
                  <pic:blipFill>
                    <a:blip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>;</w:t>
      </w:r>
      <w:r>
        <w:t xml:space="preserve"> рисунок 18.1 в — ФМ с противоположными сигналами </w:t>
      </w:r>
      <w:r>
        <w:rPr>
          <w:i/>
          <w:iCs/>
          <w:lang w:val="en-US"/>
        </w:rPr>
        <w:t>s</w:t>
      </w:r>
      <w:r>
        <w:rPr>
          <w:i/>
          <w:iCs/>
          <w:vertAlign w:val="subscript"/>
        </w:rPr>
        <w:t>1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)=-</w:t>
      </w:r>
      <w:r>
        <w:rPr>
          <w:i/>
          <w:iCs/>
          <w:lang w:val="en-US"/>
        </w:rPr>
        <w:t>s</w:t>
      </w:r>
      <w:r>
        <w:rPr>
          <w:i/>
          <w:iCs/>
          <w:vertAlign w:val="subscript"/>
        </w:rPr>
        <w:t>0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).</w:t>
      </w:r>
    </w:p>
    <w:p w:rsidR="001F73E5" w:rsidRDefault="001F73E5" w:rsidP="001F73E5">
      <w:pPr>
        <w:jc w:val="center"/>
      </w:pPr>
      <w:r>
        <w:t xml:space="preserve">Из рисунка видно, что по сравнению с двоичной </w:t>
      </w:r>
      <w:r>
        <w:rPr>
          <w:lang w:val="en-US"/>
        </w:rPr>
        <w:t>AM</w:t>
      </w:r>
      <w:r>
        <w:t xml:space="preserve"> для двоичной ЧМ</w:t>
      </w:r>
    </w:p>
    <w:p w:rsidR="001F73E5" w:rsidRDefault="001F73E5" w:rsidP="001F73E5">
      <w:pPr>
        <w:jc w:val="center"/>
      </w:pPr>
      <w:r>
        <w:rPr>
          <w:noProof/>
        </w:rPr>
        <w:lastRenderedPageBreak/>
        <w:drawing>
          <wp:inline distT="0" distB="0" distL="0" distR="0" wp14:anchorId="5B51A4F9" wp14:editId="6632C88F">
            <wp:extent cx="5848350" cy="2095500"/>
            <wp:effectExtent l="0" t="0" r="0" b="0"/>
            <wp:docPr id="8" name="Picture 8" descr="C:\Users\Василий\Desktop\Нов лек ТЭС\Лекции ТЭС последние\ГЛАВА 2_files\image36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C:\Users\Василий\Desktop\Нов лек ТЭС\Лекции ТЭС последние\ГЛАВА 2_files\image362.gif"/>
                    <pic:cNvPicPr>
                      <a:picLocks noChangeAspect="1" noChangeArrowheads="1"/>
                    </pic:cNvPicPr>
                  </pic:nvPicPr>
                  <pic:blipFill>
                    <a:blip r:link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73E5" w:rsidRDefault="001F73E5" w:rsidP="001F73E5">
      <w:pPr>
        <w:jc w:val="center"/>
      </w:pPr>
      <w:r>
        <w:t xml:space="preserve">Рисунок 18.1 - К определению эквивалентной энергии двоичных систем </w:t>
      </w:r>
      <w:r>
        <w:rPr>
          <w:lang w:val="en-US"/>
        </w:rPr>
        <w:t>AM</w:t>
      </w:r>
      <w:r>
        <w:t>, ЧМ, ФМ</w:t>
      </w:r>
    </w:p>
    <w:p w:rsidR="001F73E5" w:rsidRDefault="001F73E5" w:rsidP="001F73E5">
      <w:pPr>
        <w:jc w:val="center"/>
      </w:pPr>
    </w:p>
    <w:p w:rsidR="001F73E5" w:rsidRDefault="001F73E5" w:rsidP="001F73E5">
      <w:pPr>
        <w:jc w:val="center"/>
      </w:pPr>
      <w:r>
        <w:t xml:space="preserve">эквивалентная энергия сигнала </w:t>
      </w:r>
      <w:r>
        <w:rPr>
          <w:lang w:val="en-US"/>
        </w:rPr>
        <w:t>E</w:t>
      </w:r>
      <w:r>
        <w:rPr>
          <w:vertAlign w:val="subscript"/>
        </w:rPr>
        <w:t>э</w:t>
      </w:r>
      <w:r>
        <w:t>=||</w:t>
      </w:r>
      <w:r>
        <w:rPr>
          <w:lang w:val="en-US"/>
        </w:rPr>
        <w:t>s</w:t>
      </w:r>
      <w:r>
        <w:rPr>
          <w:vertAlign w:val="subscript"/>
        </w:rPr>
        <w:t>1</w:t>
      </w:r>
      <w:r>
        <w:t xml:space="preserve">- </w:t>
      </w:r>
      <w:r>
        <w:rPr>
          <w:lang w:val="en-US"/>
        </w:rPr>
        <w:t>s</w:t>
      </w:r>
      <w:r>
        <w:rPr>
          <w:vertAlign w:val="subscript"/>
        </w:rPr>
        <w:t>0</w:t>
      </w:r>
      <w:r>
        <w:t>||</w:t>
      </w:r>
      <w:r>
        <w:rPr>
          <w:vertAlign w:val="superscript"/>
        </w:rPr>
        <w:t>2</w:t>
      </w:r>
      <w:r>
        <w:t xml:space="preserve"> в 2 раза больше, а для двоичной ФМ - в 4 раза больше.</w:t>
      </w:r>
    </w:p>
    <w:p w:rsidR="001F73E5" w:rsidRDefault="001F73E5" w:rsidP="001F73E5">
      <w:pPr>
        <w:jc w:val="center"/>
      </w:pPr>
      <w:r>
        <w:t xml:space="preserve">Соотношение (18.3) позволяет осуществлять оптимальный выбор сигналов </w:t>
      </w:r>
      <w:r>
        <w:rPr>
          <w:i/>
          <w:iCs/>
          <w:lang w:val="en-US"/>
        </w:rPr>
        <w:t>s</w:t>
      </w:r>
      <w:r>
        <w:rPr>
          <w:i/>
          <w:iCs/>
          <w:vertAlign w:val="subscript"/>
        </w:rPr>
        <w:t>1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 xml:space="preserve">) и </w:t>
      </w:r>
      <w:r>
        <w:rPr>
          <w:i/>
          <w:iCs/>
          <w:lang w:val="en-US"/>
        </w:rPr>
        <w:t>S</w:t>
      </w:r>
      <w:r>
        <w:rPr>
          <w:i/>
          <w:iCs/>
          <w:vertAlign w:val="subscript"/>
        </w:rPr>
        <w:t>0</w:t>
      </w:r>
      <w:r>
        <w:rPr>
          <w:i/>
          <w:iCs/>
        </w:rPr>
        <w:t xml:space="preserve"> 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t xml:space="preserve"> или соответственно </w:t>
      </w:r>
      <w:r>
        <w:rPr>
          <w:i/>
          <w:iCs/>
          <w:lang w:val="en-US"/>
        </w:rPr>
        <w:t>u</w:t>
      </w:r>
      <w:r>
        <w:rPr>
          <w:i/>
          <w:iCs/>
          <w:vertAlign w:val="subscript"/>
        </w:rPr>
        <w:t>1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t xml:space="preserve"> и У</w:t>
      </w:r>
      <w:r>
        <w:rPr>
          <w:vertAlign w:val="subscript"/>
        </w:rPr>
        <w:t>0</w:t>
      </w:r>
      <w:r>
        <w:t>(</w:t>
      </w:r>
      <w:r>
        <w:rPr>
          <w:lang w:val="en-US"/>
        </w:rPr>
        <w:t>t</w:t>
      </w:r>
      <w:r>
        <w:t xml:space="preserve">), обеспечивающих максимально возможную помехоустойчивость при заданной энергии сигналов </w:t>
      </w:r>
      <w:r>
        <w:rPr>
          <w:i/>
          <w:iCs/>
        </w:rPr>
        <w:t>Е.</w:t>
      </w:r>
    </w:p>
    <w:p w:rsidR="001F73E5" w:rsidRDefault="001F73E5" w:rsidP="001F73E5">
      <w:pPr>
        <w:jc w:val="center"/>
      </w:pPr>
      <w:r>
        <w:t xml:space="preserve">Интеграл </w:t>
      </w:r>
      <w:r>
        <w:rPr>
          <w:noProof/>
          <w:vertAlign w:val="subscript"/>
        </w:rPr>
        <w:drawing>
          <wp:inline distT="0" distB="0" distL="0" distR="0" wp14:anchorId="45450990" wp14:editId="048CBD92">
            <wp:extent cx="1181100" cy="495300"/>
            <wp:effectExtent l="0" t="0" r="0" b="0"/>
            <wp:docPr id="9" name="Picture 9" descr="C:\Users\Василий\Desktop\Нов лек ТЭС\Лекции ТЭС последние\ГЛАВА 2_files\image3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C:\Users\Василий\Desktop\Нов лек ТЭС\Лекции ТЭС последние\ГЛАВА 2_files\image363.gif"/>
                    <pic:cNvPicPr>
                      <a:picLocks noChangeAspect="1" noChangeArrowheads="1"/>
                    </pic:cNvPicPr>
                  </pic:nvPicPr>
                  <pic:blipFill>
                    <a:blip r:link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 принимает только неотрицательные значения, поэтому его минимум равен нулю и достигается при условии </w:t>
      </w:r>
      <w:r>
        <w:rPr>
          <w:i/>
          <w:iCs/>
          <w:lang w:val="en-US"/>
        </w:rPr>
        <w:t>s</w:t>
      </w:r>
      <w:r>
        <w:rPr>
          <w:i/>
          <w:iCs/>
          <w:vertAlign w:val="subscript"/>
        </w:rPr>
        <w:t>1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)=-</w:t>
      </w:r>
      <w:r>
        <w:rPr>
          <w:i/>
          <w:iCs/>
          <w:lang w:val="en-US"/>
        </w:rPr>
        <w:t>s</w:t>
      </w:r>
      <w:r>
        <w:rPr>
          <w:i/>
          <w:iCs/>
          <w:vertAlign w:val="subscript"/>
        </w:rPr>
        <w:t>0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),</w:t>
      </w:r>
      <w:r>
        <w:t xml:space="preserve"> в двоичном канале с постоянными параметрами и аддитивным БГШ оптимальной оказывается система с </w:t>
      </w:r>
      <w:r>
        <w:rPr>
          <w:i/>
          <w:iCs/>
        </w:rPr>
        <w:t>противоположными сигналами.</w:t>
      </w:r>
      <w:r>
        <w:t xml:space="preserve"> Этому условию удовлетворяют, например, двуполярные импульсы, сигналы двоичной фазовой модуляции (</w:t>
      </w:r>
      <w:r>
        <w:rPr>
          <w:i/>
          <w:iCs/>
        </w:rPr>
        <w:t>ФМ</w:t>
      </w:r>
      <w:r>
        <w:t>), если разность фаз сигналов Δφ=π и.т.п.</w:t>
      </w:r>
    </w:p>
    <w:p w:rsidR="001F73E5" w:rsidRDefault="001F73E5" w:rsidP="001F73E5">
      <w:pPr>
        <w:jc w:val="center"/>
      </w:pPr>
      <w:r>
        <w:t xml:space="preserve">Для всех таких систем </w:t>
      </w:r>
      <w:r>
        <w:rPr>
          <w:i/>
          <w:iCs/>
        </w:rPr>
        <w:t>Е</w:t>
      </w:r>
      <w:r>
        <w:rPr>
          <w:i/>
          <w:iCs/>
          <w:vertAlign w:val="subscript"/>
        </w:rPr>
        <w:t>э</w:t>
      </w:r>
      <w:r>
        <w:t xml:space="preserve"> = </w:t>
      </w:r>
      <w:r>
        <w:rPr>
          <w:i/>
          <w:iCs/>
        </w:rPr>
        <w:t>4Е</w:t>
      </w:r>
      <w:r>
        <w:t xml:space="preserve"> и вероятность ошибки</w:t>
      </w:r>
    </w:p>
    <w:p w:rsidR="001F73E5" w:rsidRDefault="001F73E5" w:rsidP="001F73E5">
      <w:pPr>
        <w:jc w:val="center"/>
      </w:pPr>
      <w:r>
        <w:rPr>
          <w:noProof/>
          <w:vertAlign w:val="subscript"/>
        </w:rPr>
        <w:drawing>
          <wp:inline distT="0" distB="0" distL="0" distR="0" wp14:anchorId="26513EDE" wp14:editId="15E5804D">
            <wp:extent cx="1800225" cy="609600"/>
            <wp:effectExtent l="0" t="0" r="9525" b="0"/>
            <wp:docPr id="10" name="Picture 10" descr="C:\Users\Василий\Desktop\Нов лек ТЭС\Лекции ТЭС последние\ГЛАВА 2_files\image36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C:\Users\Василий\Desktop\Нов лек ТЭС\Лекции ТЭС последние\ГЛАВА 2_files\image364.gif"/>
                    <pic:cNvPicPr>
                      <a:picLocks noChangeAspect="1" noChangeArrowheads="1"/>
                    </pic:cNvPicPr>
                  </pic:nvPicPr>
                  <pic:blipFill>
                    <a:blip r:link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,                            (18.4)</w:t>
      </w:r>
    </w:p>
    <w:p w:rsidR="001F73E5" w:rsidRDefault="001F73E5" w:rsidP="001F73E5">
      <w:pPr>
        <w:jc w:val="center"/>
      </w:pPr>
      <w:r>
        <w:t xml:space="preserve">где </w:t>
      </w:r>
      <w:r>
        <w:rPr>
          <w:noProof/>
          <w:vertAlign w:val="subscript"/>
        </w:rPr>
        <w:drawing>
          <wp:inline distT="0" distB="0" distL="0" distR="0" wp14:anchorId="2077BF8C" wp14:editId="2CFC32D4">
            <wp:extent cx="581025" cy="428625"/>
            <wp:effectExtent l="0" t="0" r="9525" b="9525"/>
            <wp:docPr id="11" name="Picture 11" descr="C:\Users\Василий\Desktop\Нов лек ТЭС\Лекции ТЭС последние\ГЛАВА 2_files\image36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C:\Users\Василий\Desktop\Нов лек ТЭС\Лекции ТЭС последние\ГЛАВА 2_files\image365.gif"/>
                    <pic:cNvPicPr>
                      <a:picLocks noChangeAspect="1" noChangeArrowheads="1"/>
                    </pic:cNvPicPr>
                  </pic:nvPicPr>
                  <pic:blipFill>
                    <a:blip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 отношение энергии сигнала на входе демодулятора к спектральной плотности мощности флуктуационной помехи.</w:t>
      </w:r>
    </w:p>
    <w:p w:rsidR="001F73E5" w:rsidRDefault="001F73E5" w:rsidP="001F73E5">
      <w:pPr>
        <w:jc w:val="center"/>
      </w:pPr>
      <w:r>
        <w:t xml:space="preserve">Для системы с ортогональными сигналами равной энергии (например, при известных условиях для системы двоичной </w:t>
      </w:r>
      <w:r>
        <w:rPr>
          <w:i/>
          <w:iCs/>
        </w:rPr>
        <w:t>ЧМ</w:t>
      </w:r>
      <w:r>
        <w:t xml:space="preserve">), когда </w:t>
      </w:r>
      <w:r>
        <w:rPr>
          <w:noProof/>
          <w:vertAlign w:val="subscript"/>
        </w:rPr>
        <w:drawing>
          <wp:inline distT="0" distB="0" distL="0" distR="0" wp14:anchorId="6236C81B" wp14:editId="6AA78C85">
            <wp:extent cx="1666875" cy="485775"/>
            <wp:effectExtent l="0" t="0" r="9525" b="9525"/>
            <wp:docPr id="12" name="Picture 12" descr="C:\Users\Василий\Desktop\Нов лек ТЭС\Лекции ТЭС последние\ГЛАВА 2_files\image36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C:\Users\Василий\Desktop\Нов лек ТЭС\Лекции ТЭС последние\ГЛАВА 2_files\image366.gif"/>
                    <pic:cNvPicPr>
                      <a:picLocks noChangeAspect="1" noChangeArrowheads="1"/>
                    </pic:cNvPicPr>
                  </pic:nvPicPr>
                  <pic:blipFill>
                    <a:blip r:link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 и минимальная вероятность ошибки</w:t>
      </w:r>
    </w:p>
    <w:p w:rsidR="001F73E5" w:rsidRDefault="001F73E5" w:rsidP="001F73E5">
      <w:pPr>
        <w:jc w:val="center"/>
      </w:pPr>
      <w:r>
        <w:rPr>
          <w:i/>
          <w:iCs/>
          <w:lang w:val="en-US"/>
        </w:rPr>
        <w:t>p</w:t>
      </w:r>
      <w:r>
        <w:rPr>
          <w:i/>
          <w:iCs/>
        </w:rPr>
        <w:t xml:space="preserve"> = </w:t>
      </w:r>
      <w:proofErr w:type="gramStart"/>
      <w:r>
        <w:rPr>
          <w:i/>
          <w:iCs/>
          <w:lang w:val="en-US"/>
        </w:rPr>
        <w:t>Q</w:t>
      </w:r>
      <w:r>
        <w:rPr>
          <w:i/>
          <w:iCs/>
        </w:rPr>
        <w:t>(</w:t>
      </w:r>
      <w:proofErr w:type="gramEnd"/>
      <w:r>
        <w:rPr>
          <w:i/>
          <w:iCs/>
          <w:lang w:val="en-US"/>
        </w:rPr>
        <w:t>h</w:t>
      </w:r>
      <w:r>
        <w:rPr>
          <w:i/>
          <w:iCs/>
        </w:rPr>
        <w:t>).</w:t>
      </w:r>
      <w:r>
        <w:t>                                       (18.5)</w:t>
      </w:r>
    </w:p>
    <w:p w:rsidR="001F73E5" w:rsidRDefault="001F73E5" w:rsidP="001F73E5">
      <w:pPr>
        <w:jc w:val="center"/>
      </w:pPr>
      <w:r>
        <w:t>Сравнивая (18.5) и (18.4), приходим к выводу, что переход от системы с ортогональными сигналами к системе с оптимальными (противоположными) сигналами позволяет в рассматриваемом канале обеспечить неизменное качество связи (вероятность ошибки) при понижении средней мощности передатчика в 2 раза, т.е. даёт энергетический выигрыш в 2 раза (или на 3 дБ). Этот вывод следует также из рисунка 18.1.</w:t>
      </w:r>
    </w:p>
    <w:p w:rsidR="001F73E5" w:rsidRDefault="001F73E5" w:rsidP="001F73E5">
      <w:pPr>
        <w:jc w:val="center"/>
      </w:pPr>
      <w:r>
        <w:t xml:space="preserve">В двоичной системе с пассивной паузой, полагая </w:t>
      </w:r>
      <w:r>
        <w:rPr>
          <w:i/>
          <w:iCs/>
          <w:lang w:val="en-US"/>
        </w:rPr>
        <w:t>s</w:t>
      </w:r>
      <w:r>
        <w:rPr>
          <w:i/>
          <w:iCs/>
          <w:vertAlign w:val="subscript"/>
        </w:rPr>
        <w:t>0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)=0</w:t>
      </w:r>
      <w:r>
        <w:t xml:space="preserve"> и </w:t>
      </w:r>
      <w:r>
        <w:rPr>
          <w:noProof/>
          <w:vertAlign w:val="subscript"/>
        </w:rPr>
        <w:drawing>
          <wp:inline distT="0" distB="0" distL="0" distR="0" wp14:anchorId="38C6CCEB" wp14:editId="3DB01DDA">
            <wp:extent cx="838200" cy="485775"/>
            <wp:effectExtent l="0" t="0" r="0" b="9525"/>
            <wp:docPr id="13" name="Picture 13" descr="C:\Users\Василий\Desktop\Нов лек ТЭС\Лекции ТЭС последние\ГЛАВА 2_files\image36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C:\Users\Василий\Desktop\Нов лек ТЭС\Лекции ТЭС последние\ГЛАВА 2_files\image367.gif"/>
                    <pic:cNvPicPr>
                      <a:picLocks noChangeAspect="1" noChangeArrowheads="1"/>
                    </pic:cNvPicPr>
                  </pic:nvPicPr>
                  <pic:blipFill>
                    <a:blip r:link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 xml:space="preserve">, </w:t>
      </w:r>
      <w:r>
        <w:t>получаем для минимальной вероятности ошибки</w:t>
      </w:r>
    </w:p>
    <w:p w:rsidR="001F73E5" w:rsidRDefault="001F73E5" w:rsidP="001F73E5">
      <w:pPr>
        <w:jc w:val="center"/>
      </w:pPr>
      <w:r>
        <w:rPr>
          <w:noProof/>
          <w:vertAlign w:val="subscript"/>
        </w:rPr>
        <w:drawing>
          <wp:inline distT="0" distB="0" distL="0" distR="0" wp14:anchorId="2875FCCD" wp14:editId="51701EB0">
            <wp:extent cx="933450" cy="542925"/>
            <wp:effectExtent l="0" t="0" r="0" b="9525"/>
            <wp:docPr id="14" name="Picture 14" descr="C:\Users\Василий\Desktop\Нов лек ТЭС\Лекции ТЭС последние\ГЛАВА 2_files\image36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C:\Users\Василий\Desktop\Нов лек ТЭС\Лекции ТЭС последние\ГЛАВА 2_files\image368.gif"/>
                    <pic:cNvPicPr>
                      <a:picLocks noChangeAspect="1" noChangeArrowheads="1"/>
                    </pic:cNvPicPr>
                  </pic:nvPicPr>
                  <pic:blipFill>
                    <a:blip r:link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>.</w:t>
      </w:r>
      <w:r>
        <w:t>                                  (18.6)</w:t>
      </w:r>
    </w:p>
    <w:p w:rsidR="001F73E5" w:rsidRDefault="001F73E5" w:rsidP="001F73E5">
      <w:pPr>
        <w:jc w:val="center"/>
      </w:pPr>
      <w:r>
        <w:t xml:space="preserve">Отсюда видно, что при переходе от системы </w:t>
      </w:r>
      <w:r>
        <w:rPr>
          <w:i/>
          <w:iCs/>
          <w:lang w:val="en-US"/>
        </w:rPr>
        <w:t>AM</w:t>
      </w:r>
      <w:r>
        <w:t xml:space="preserve"> к системе ЧМ энергетический выигрыш по максимальной мощности равен 2, а при переходе к системе ФМ - 4. Если же сравнение вести не по пиковой, а по средней мощности, то переход от </w:t>
      </w:r>
      <w:r>
        <w:rPr>
          <w:lang w:val="en-US"/>
        </w:rPr>
        <w:t>AM</w:t>
      </w:r>
      <w:r>
        <w:t xml:space="preserve"> к ЧМ не даёт энергетического выигрыша, поскольку при ЧМ средняя мощность равна максимальной, а при </w:t>
      </w:r>
      <w:r>
        <w:rPr>
          <w:lang w:val="en-US"/>
        </w:rPr>
        <w:t>AM</w:t>
      </w:r>
      <w:r>
        <w:t xml:space="preserve"> - вдвое меньше максимальной (если </w:t>
      </w:r>
      <w:r>
        <w:rPr>
          <w:lang w:val="en-US"/>
        </w:rPr>
        <w:t>s</w:t>
      </w:r>
      <w:r>
        <w:rPr>
          <w:vertAlign w:val="subscript"/>
        </w:rPr>
        <w:t>1</w:t>
      </w:r>
      <w:r>
        <w:t xml:space="preserve"> и </w:t>
      </w:r>
      <w:r>
        <w:rPr>
          <w:lang w:val="en-US"/>
        </w:rPr>
        <w:t>s</w:t>
      </w:r>
      <w:r>
        <w:rPr>
          <w:vertAlign w:val="subscript"/>
        </w:rPr>
        <w:t>0</w:t>
      </w:r>
      <w:r>
        <w:rPr>
          <w:caps/>
        </w:rPr>
        <w:t xml:space="preserve"> </w:t>
      </w:r>
      <w:r>
        <w:t>передаются с одинаковой вероятностью).</w:t>
      </w:r>
    </w:p>
    <w:p w:rsidR="001F73E5" w:rsidRDefault="001F73E5" w:rsidP="001F73E5">
      <w:pPr>
        <w:jc w:val="center"/>
      </w:pPr>
      <w:r>
        <w:t xml:space="preserve">Система ФМ, как и другие системы с противоположными сигналами, обеспечивает максимальную для двоичной системы потенциальную помехоустойчивость. Однако реализация демодулятора для когерентного приёма ФМ встречает определённые трудности. При построении демодулятора с активным фильтром возникает проблема поддержания равенства фаз опорного генератора и приходящего сигнала. Если пытаться строить его на основе согласованного фильтра (см. рисунок 17.2), то возникает не менее трудная задача взятия когерентного отсчёта. Возникает так называемое явление </w:t>
      </w:r>
      <w:r>
        <w:rPr>
          <w:i/>
          <w:iCs/>
        </w:rPr>
        <w:t>обратной работы,</w:t>
      </w:r>
      <w:r>
        <w:t xml:space="preserve"> вследствие которого практическое внедрение системы с двоичной фазовой модуляцией оказалось затруднительным.</w:t>
      </w:r>
    </w:p>
    <w:p w:rsidR="001F73E5" w:rsidRDefault="001F73E5" w:rsidP="001F73E5">
      <w:pPr>
        <w:jc w:val="center"/>
      </w:pPr>
      <w:r>
        <w:t xml:space="preserve">Эффективный метод устранения этого явления был найден путём перехода к </w:t>
      </w:r>
      <w:r>
        <w:rPr>
          <w:i/>
          <w:iCs/>
        </w:rPr>
        <w:t>относительным методам модуляции,</w:t>
      </w:r>
      <w:r>
        <w:t xml:space="preserve"> предложенным Н.Т. Петровичем. Они сводятся к модуляции информационного параметра передаваемой посылки элемента сигнала относительно того же параметра предшествующей посылки. При </w:t>
      </w:r>
      <w:r>
        <w:rPr>
          <w:i/>
          <w:iCs/>
        </w:rPr>
        <w:t>относительной фазовой манипуляции</w:t>
      </w:r>
      <w:r>
        <w:t xml:space="preserve"> (ОФМ) сообщение содержится не в абсолютном значении фазы элемента сигнала, а в разности фаз двух соседних элементов, при этом символ 1 передаётся повторением той реализации сигнала, которая имела место в качестве предыдущего элемента, а символ 0 — реализацией с обратной фазой, либо наоборот.</w:t>
      </w:r>
    </w:p>
    <w:p w:rsidR="001F73E5" w:rsidRDefault="001F73E5" w:rsidP="001F73E5">
      <w:pPr>
        <w:jc w:val="center"/>
      </w:pPr>
      <w:r>
        <w:t xml:space="preserve">Сигналы ОФМ могут приниматься различными методами. Рассмотрим квазикогерентный приём сигналов ОФМ (называемый </w:t>
      </w:r>
      <w:r>
        <w:rPr>
          <w:i/>
          <w:iCs/>
        </w:rPr>
        <w:t>методом сравнения полярностей).</w:t>
      </w:r>
    </w:p>
    <w:p w:rsidR="001F73E5" w:rsidRDefault="001F73E5" w:rsidP="001F73E5">
      <w:pPr>
        <w:jc w:val="center"/>
      </w:pPr>
      <w:r>
        <w:t>Определим вероятность ошибки в системе ОФМ при учёте флуктуационной помехи в канале при когерентном приёме. Очевидно, что ошибочная регистрация символа при приёме методом сравнения полярностей возможна в результате одного из двух несовместных событий:</w:t>
      </w:r>
    </w:p>
    <w:p w:rsidR="001F73E5" w:rsidRDefault="001F73E5" w:rsidP="001F73E5">
      <w:pPr>
        <w:jc w:val="center"/>
      </w:pPr>
      <w:r>
        <w:t>а) знак данного элемента принят ошибочно, а знак предыдущего - верно;</w:t>
      </w:r>
    </w:p>
    <w:p w:rsidR="001F73E5" w:rsidRDefault="001F73E5" w:rsidP="001F73E5">
      <w:pPr>
        <w:jc w:val="center"/>
      </w:pPr>
      <w:r>
        <w:t>б) знак данного элемента принят верно, а знак предыдущего - ошибочно.</w:t>
      </w:r>
    </w:p>
    <w:p w:rsidR="001F73E5" w:rsidRDefault="001F73E5" w:rsidP="001F73E5">
      <w:pPr>
        <w:jc w:val="center"/>
      </w:pPr>
      <w:r>
        <w:t xml:space="preserve">Каждое из этих событий имеет вероятность </w:t>
      </w:r>
      <w:r>
        <w:rPr>
          <w:i/>
          <w:iCs/>
          <w:lang w:val="en-US"/>
        </w:rPr>
        <w:t>p</w:t>
      </w:r>
      <w:r>
        <w:rPr>
          <w:i/>
          <w:iCs/>
          <w:vertAlign w:val="subscript"/>
        </w:rPr>
        <w:t>ФМ</w:t>
      </w:r>
      <w:r>
        <w:t>(1-</w:t>
      </w:r>
      <w:r>
        <w:rPr>
          <w:i/>
          <w:iCs/>
          <w:lang w:val="en-US"/>
        </w:rPr>
        <w:t>p</w:t>
      </w:r>
      <w:r>
        <w:rPr>
          <w:i/>
          <w:iCs/>
          <w:vertAlign w:val="subscript"/>
        </w:rPr>
        <w:t>ФМ</w:t>
      </w:r>
      <w:r>
        <w:t xml:space="preserve">)- Таким образом, в нормальных условиях эксплуатации, когда требуется </w:t>
      </w:r>
      <w:r>
        <w:rPr>
          <w:i/>
          <w:iCs/>
          <w:lang w:val="en-US"/>
        </w:rPr>
        <w:t>p</w:t>
      </w:r>
      <w:r>
        <w:rPr>
          <w:i/>
          <w:iCs/>
          <w:vertAlign w:val="subscript"/>
        </w:rPr>
        <w:t>ФМ</w:t>
      </w:r>
      <w:r>
        <w:t xml:space="preserve">&lt;&lt;1, </w:t>
      </w:r>
      <w:r>
        <w:rPr>
          <w:i/>
          <w:iCs/>
          <w:lang w:val="en-US"/>
        </w:rPr>
        <w:t>p</w:t>
      </w:r>
      <w:r>
        <w:rPr>
          <w:i/>
          <w:iCs/>
          <w:vertAlign w:val="subscript"/>
        </w:rPr>
        <w:t>ОФМ</w:t>
      </w:r>
      <w:r>
        <w:rPr>
          <w:i/>
          <w:iCs/>
        </w:rPr>
        <w:t xml:space="preserve">=2 </w:t>
      </w:r>
      <w:r>
        <w:rPr>
          <w:i/>
          <w:iCs/>
          <w:lang w:val="en-US"/>
        </w:rPr>
        <w:t>p</w:t>
      </w:r>
      <w:r>
        <w:rPr>
          <w:i/>
          <w:iCs/>
          <w:vertAlign w:val="subscript"/>
        </w:rPr>
        <w:t>ФМ</w:t>
      </w:r>
      <w:r>
        <w:rPr>
          <w:i/>
          <w:iCs/>
        </w:rPr>
        <w:t>=2</w:t>
      </w:r>
      <w:r>
        <w:rPr>
          <w:i/>
          <w:iCs/>
          <w:lang w:val="en-US"/>
        </w:rPr>
        <w:t>Q</w:t>
      </w:r>
      <w:r>
        <w:rPr>
          <w:i/>
          <w:iCs/>
        </w:rPr>
        <w:t>[</w:t>
      </w:r>
      <w:r>
        <w:rPr>
          <w:i/>
          <w:noProof/>
          <w:vertAlign w:val="subscript"/>
        </w:rPr>
        <w:drawing>
          <wp:inline distT="0" distB="0" distL="0" distR="0" wp14:anchorId="55561416" wp14:editId="624D7B23">
            <wp:extent cx="304800" cy="219075"/>
            <wp:effectExtent l="0" t="0" r="0" b="9525"/>
            <wp:docPr id="15" name="Picture 15" descr="C:\Users\Василий\Desktop\Нов лек ТЭС\Лекции ТЭС последние\ГЛАВА 2_files\image36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C:\Users\Василий\Desktop\Нов лек ТЭС\Лекции ТЭС последние\ГЛАВА 2_files\image369.gif"/>
                    <pic:cNvPicPr>
                      <a:picLocks noChangeAspect="1" noChangeArrowheads="1"/>
                    </pic:cNvPicPr>
                  </pic:nvPicPr>
                  <pic:blipFill>
                    <a:blip r:link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>].</w:t>
      </w:r>
    </w:p>
    <w:p w:rsidR="001F73E5" w:rsidRDefault="001F73E5" w:rsidP="001F73E5">
      <w:pPr>
        <w:jc w:val="center"/>
      </w:pPr>
      <w:r>
        <w:t>Таким образом, "платой" за устранение обратной работы является удвоение вероятности ошибки, обусловленной шумом в канале.</w:t>
      </w:r>
    </w:p>
    <w:p w:rsidR="001F73E5" w:rsidRDefault="001F73E5" w:rsidP="001F73E5">
      <w:pPr>
        <w:jc w:val="center"/>
      </w:pPr>
      <w:r>
        <w:t>Очевидно, что при рассматриваемом методе приёма сигналов ОФМ образующийся дискретный канал является марковским. Вероятность ошибки в нём зависит от того, правильно или ошибочно приняты предыдущие символы. Подавляющее большинство ошибок группируется по две.</w:t>
      </w:r>
    </w:p>
    <w:p w:rsidR="001F73E5" w:rsidRDefault="001F73E5" w:rsidP="001F73E5">
      <w:pPr>
        <w:jc w:val="center"/>
      </w:pPr>
      <w:r>
        <w:t>Для систем равновероятных ортогональных сигналов равной энергии канал симметричен, и можно оценить вероятность ошибки простым неравенством</w:t>
      </w:r>
    </w:p>
    <w:p w:rsidR="001F73E5" w:rsidRDefault="001F73E5" w:rsidP="001F73E5">
      <w:pPr>
        <w:jc w:val="center"/>
      </w:pPr>
      <w:r>
        <w:rPr>
          <w:i/>
          <w:noProof/>
          <w:vertAlign w:val="subscript"/>
        </w:rPr>
        <w:drawing>
          <wp:inline distT="0" distB="0" distL="0" distR="0" wp14:anchorId="5179E42D" wp14:editId="4C3372DB">
            <wp:extent cx="1257300" cy="276225"/>
            <wp:effectExtent l="0" t="0" r="0" b="9525"/>
            <wp:docPr id="16" name="Picture 16" descr="C:\Users\Василий\Desktop\Нов лек ТЭС\Лекции ТЭС последние\ГЛАВА 2_files\image37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C:\Users\Василий\Desktop\Нов лек ТЭС\Лекции ТЭС последние\ГЛАВА 2_files\image370.gif"/>
                    <pic:cNvPicPr>
                      <a:picLocks noChangeAspect="1" noChangeArrowheads="1"/>
                    </pic:cNvPicPr>
                  </pic:nvPicPr>
                  <pic:blipFill>
                    <a:blip r:link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>.</w:t>
      </w:r>
      <w:r>
        <w:t>                              (18.7)</w:t>
      </w:r>
    </w:p>
    <w:p w:rsidR="001F73E5" w:rsidRDefault="001F73E5" w:rsidP="001F73E5">
      <w:pPr>
        <w:jc w:val="center"/>
      </w:pPr>
    </w:p>
    <w:p w:rsidR="001F73E5" w:rsidRDefault="001F73E5" w:rsidP="001F73E5">
      <w:pPr>
        <w:jc w:val="center"/>
      </w:pPr>
      <w:r>
        <w:rPr>
          <w:i/>
          <w:iCs/>
        </w:rPr>
        <w:t>Теорема 1. О кодировании источника.</w:t>
      </w:r>
    </w:p>
    <w:p w:rsidR="001F73E5" w:rsidRDefault="001F73E5" w:rsidP="001F73E5">
      <w:pPr>
        <w:jc w:val="center"/>
      </w:pPr>
      <w:r>
        <w:rPr>
          <w:i/>
          <w:iCs/>
        </w:rPr>
        <w:t>Существует способ кодирования, при котором средняя длина последовательности канальных символов п , приходящаяся на один символ источника сообщений,</w:t>
      </w:r>
    </w:p>
    <w:p w:rsidR="001F73E5" w:rsidRDefault="001F73E5" w:rsidP="001F73E5">
      <w:pPr>
        <w:jc w:val="center"/>
      </w:pPr>
      <w:r>
        <w:rPr>
          <w:noProof/>
          <w:vertAlign w:val="subscript"/>
        </w:rPr>
        <w:drawing>
          <wp:inline distT="0" distB="0" distL="0" distR="0" wp14:anchorId="6CCA1399" wp14:editId="1F5EBED5">
            <wp:extent cx="1628775" cy="447675"/>
            <wp:effectExtent l="0" t="0" r="9525" b="9525"/>
            <wp:docPr id="17" name="Picture 17" descr="C:\Users\Василий\Desktop\Нов лек ТЭС\Лекции ТЭС последние\ГЛАВА 2_files\image37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C:\Users\Василий\Desktop\Нов лек ТЭС\Лекции ТЭС последние\ГЛАВА 2_files\image371.gif"/>
                    <pic:cNvPicPr>
                      <a:picLocks noChangeAspect="1" noChangeArrowheads="1"/>
                    </pic:cNvPicPr>
                  </pic:nvPicPr>
                  <pic:blipFill>
                    <a:blip r:link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                       (18.8)</w:t>
      </w:r>
    </w:p>
    <w:p w:rsidR="001F73E5" w:rsidRDefault="001F73E5" w:rsidP="001F73E5">
      <w:pPr>
        <w:jc w:val="center"/>
      </w:pPr>
      <w:r>
        <w:t xml:space="preserve">Не существует способа кодирования, при котором </w:t>
      </w:r>
      <w:r>
        <w:rPr>
          <w:noProof/>
          <w:vertAlign w:val="subscript"/>
        </w:rPr>
        <w:drawing>
          <wp:inline distT="0" distB="0" distL="0" distR="0" wp14:anchorId="10CBBABD" wp14:editId="72C79177">
            <wp:extent cx="123825" cy="219075"/>
            <wp:effectExtent l="0" t="0" r="9525" b="9525"/>
            <wp:docPr id="18" name="Picture 18" descr="C:\Users\Василий\Desktop\Нов лек ТЭС\Лекции ТЭС последние\ГЛАВА 2_files\image37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C:\Users\Василий\Desktop\Нов лек ТЭС\Лекции ТЭС последние\ГЛАВА 2_files\image372.gif"/>
                    <pic:cNvPicPr>
                      <a:picLocks noChangeAspect="1" noChangeArrowheads="1"/>
                    </pic:cNvPicPr>
                  </pic:nvPicPr>
                  <pic:blipFill>
                    <a:blip r:link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 меньше, чем </w:t>
      </w:r>
      <w:r>
        <w:rPr>
          <w:noProof/>
          <w:vertAlign w:val="subscript"/>
        </w:rPr>
        <w:drawing>
          <wp:inline distT="0" distB="0" distL="0" distR="0" wp14:anchorId="6D2473E5" wp14:editId="2A7F0729">
            <wp:extent cx="419100" cy="428625"/>
            <wp:effectExtent l="0" t="0" r="0" b="9525"/>
            <wp:docPr id="19" name="Picture 19" descr="C:\Users\Василий\Desktop\Нов лек ТЭС\Лекции ТЭС последние\ГЛАВА 2_files\image37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Users\Василий\Desktop\Нов лек ТЭС\Лекции ТЭС последние\ГЛАВА 2_files\image373.gif"/>
                    <pic:cNvPicPr>
                      <a:picLocks noChangeAspect="1" noChangeArrowheads="1"/>
                    </pic:cNvPicPr>
                  </pic:nvPicPr>
                  <pic:blipFill>
                    <a:blip r:link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73E5" w:rsidRDefault="001F73E5" w:rsidP="001F73E5">
      <w:pPr>
        <w:jc w:val="center"/>
      </w:pPr>
      <w:r>
        <w:rPr>
          <w:i/>
          <w:iCs/>
        </w:rPr>
        <w:t>Теорема 2. Основная теорема Шеннона.</w:t>
      </w:r>
    </w:p>
    <w:p w:rsidR="001F73E5" w:rsidRDefault="001F73E5" w:rsidP="001F73E5">
      <w:pPr>
        <w:jc w:val="center"/>
      </w:pPr>
      <w:r>
        <w:rPr>
          <w:i/>
          <w:iCs/>
        </w:rPr>
        <w:t xml:space="preserve">Если производительность источника </w:t>
      </w:r>
      <w:r>
        <w:rPr>
          <w:i/>
          <w:iCs/>
          <w:lang w:val="en-US"/>
        </w:rPr>
        <w:t>H</w:t>
      </w:r>
      <w:r>
        <w:rPr>
          <w:rFonts w:ascii="Symbol" w:hAnsi="Symbol"/>
          <w:i/>
          <w:iCs/>
        </w:rPr>
        <w:t></w:t>
      </w:r>
      <w:r>
        <w:rPr>
          <w:i/>
          <w:iCs/>
        </w:rPr>
        <w:t>(</w:t>
      </w:r>
      <w:r>
        <w:rPr>
          <w:i/>
          <w:iCs/>
          <w:lang w:val="en-US"/>
        </w:rPr>
        <w:t>A</w:t>
      </w:r>
      <w:r>
        <w:rPr>
          <w:i/>
          <w:iCs/>
        </w:rPr>
        <w:t>) меньше пропускной способности С</w:t>
      </w:r>
      <w:r>
        <w:rPr>
          <w:rFonts w:ascii="Symbol" w:hAnsi="Symbol"/>
          <w:i/>
          <w:iCs/>
        </w:rPr>
        <w:t></w:t>
      </w:r>
      <w:r>
        <w:rPr>
          <w:i/>
          <w:iCs/>
        </w:rPr>
        <w:t xml:space="preserve"> в единицу времени дискретного канала с помехами, то при любом </w:t>
      </w:r>
      <w:r>
        <w:rPr>
          <w:rFonts w:ascii="Symbol" w:hAnsi="Symbol"/>
          <w:i/>
          <w:iCs/>
        </w:rPr>
        <w:t></w:t>
      </w:r>
      <w:r>
        <w:rPr>
          <w:i/>
          <w:iCs/>
        </w:rPr>
        <w:t xml:space="preserve"> &gt; 0 существует способ кодирования и декодирования источника и канала, при котором сообщения передаются получателю с вероятностью ошибки меньшей, чем </w:t>
      </w:r>
      <w:r>
        <w:rPr>
          <w:rFonts w:ascii="Symbol" w:hAnsi="Symbol"/>
          <w:i/>
          <w:iCs/>
        </w:rPr>
        <w:t></w:t>
      </w:r>
      <w:r>
        <w:rPr>
          <w:i/>
          <w:iCs/>
        </w:rPr>
        <w:t xml:space="preserve">, и в среднем без растущих задержек во времени. Если </w:t>
      </w:r>
      <w:r>
        <w:rPr>
          <w:i/>
          <w:iCs/>
          <w:lang w:val="en-US"/>
        </w:rPr>
        <w:t>H</w:t>
      </w:r>
      <w:r>
        <w:rPr>
          <w:rFonts w:ascii="Symbol" w:hAnsi="Symbol"/>
          <w:i/>
          <w:iCs/>
        </w:rPr>
        <w:t></w:t>
      </w:r>
      <w:r>
        <w:rPr>
          <w:i/>
          <w:iCs/>
        </w:rPr>
        <w:t>(</w:t>
      </w:r>
      <w:r>
        <w:rPr>
          <w:i/>
          <w:iCs/>
          <w:lang w:val="en-US"/>
        </w:rPr>
        <w:t>A</w:t>
      </w:r>
      <w:r>
        <w:rPr>
          <w:i/>
          <w:iCs/>
        </w:rPr>
        <w:t>) &gt; С</w:t>
      </w:r>
      <w:r>
        <w:rPr>
          <w:rFonts w:ascii="Symbol" w:hAnsi="Symbol"/>
          <w:i/>
          <w:iCs/>
        </w:rPr>
        <w:t></w:t>
      </w:r>
      <w:r>
        <w:rPr>
          <w:i/>
          <w:iCs/>
        </w:rPr>
        <w:t>, то такого способа кодирования не существует.</w:t>
      </w:r>
    </w:p>
    <w:p w:rsidR="001F73E5" w:rsidRDefault="001F73E5" w:rsidP="001F73E5">
      <w:pPr>
        <w:jc w:val="center"/>
      </w:pPr>
      <w:r>
        <w:t>Не всегда следует использовать как канальное кодирование, так и кодирование источника. Последнее для достижения заметного эффекта может оказаться нереализуемо сложным.</w:t>
      </w:r>
    </w:p>
    <w:p w:rsidR="00E10DA9" w:rsidRDefault="001F73E5">
      <w:bookmarkStart w:id="0" w:name="_GoBack"/>
      <w:bookmarkEnd w:id="0"/>
    </w:p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912"/>
    <w:rsid w:val="000A3B22"/>
    <w:rsid w:val="001F73E5"/>
    <w:rsid w:val="00916217"/>
    <w:rsid w:val="00B85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73E5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F73E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73E5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73E5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F73E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73E5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58.gif" TargetMode="External"/><Relationship Id="rId13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63.gif" TargetMode="External"/><Relationship Id="rId18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68.gif" TargetMode="External"/><Relationship Id="rId3" Type="http://schemas.openxmlformats.org/officeDocument/2006/relationships/settings" Target="settings.xml"/><Relationship Id="rId21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71.gif" TargetMode="External"/><Relationship Id="rId7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57.gif" TargetMode="External"/><Relationship Id="rId12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62.gif" TargetMode="External"/><Relationship Id="rId17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67.gif" TargetMode="External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66.gif" TargetMode="External"/><Relationship Id="rId20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70.gif" TargetMode="External"/><Relationship Id="rId1" Type="http://schemas.openxmlformats.org/officeDocument/2006/relationships/styles" Target="styles.xml"/><Relationship Id="rId6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56.gif" TargetMode="External"/><Relationship Id="rId11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61.gif" TargetMode="External"/><Relationship Id="rId24" Type="http://schemas.openxmlformats.org/officeDocument/2006/relationships/fontTable" Target="fontTable.xml"/><Relationship Id="rId5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55.gif" TargetMode="External"/><Relationship Id="rId15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65.gif" TargetMode="External"/><Relationship Id="rId23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73.gif" TargetMode="External"/><Relationship Id="rId10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60.gif" TargetMode="External"/><Relationship Id="rId19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69.gif" TargetMode="External"/><Relationship Id="rId4" Type="http://schemas.openxmlformats.org/officeDocument/2006/relationships/webSettings" Target="webSettings.xml"/><Relationship Id="rId9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59.gif" TargetMode="External"/><Relationship Id="rId14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64.gif" TargetMode="External"/><Relationship Id="rId22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72.gi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1154</Words>
  <Characters>6581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2020-09-24T19:33:00Z</dcterms:created>
  <dcterms:modified xsi:type="dcterms:W3CDTF">2020-09-24T19:33:00Z</dcterms:modified>
</cp:coreProperties>
</file>